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70" w:rsidRPr="000F7FAA" w:rsidRDefault="00C00770" w:rsidP="00C00770">
      <w:pPr>
        <w:tabs>
          <w:tab w:val="left" w:pos="216"/>
        </w:tabs>
        <w:spacing w:after="0" w:line="240" w:lineRule="auto"/>
        <w:ind w:left="70"/>
        <w:jc w:val="center"/>
        <w:rPr>
          <w:rFonts w:ascii="Calibri" w:eastAsia="Times New Roman" w:hAnsi="Calibri" w:cs="Times New Roman"/>
          <w:b/>
          <w:bCs/>
          <w:lang w:eastAsia="es-MX"/>
        </w:rPr>
      </w:pPr>
    </w:p>
    <w:p w:rsidR="00C00770" w:rsidRPr="000F7FAA" w:rsidRDefault="00C00770" w:rsidP="00C00770">
      <w:pPr>
        <w:tabs>
          <w:tab w:val="left" w:pos="216"/>
        </w:tabs>
        <w:spacing w:after="0" w:line="240" w:lineRule="auto"/>
        <w:ind w:left="70"/>
        <w:jc w:val="center"/>
        <w:rPr>
          <w:rFonts w:ascii="Calibri" w:eastAsia="Times New Roman" w:hAnsi="Calibri" w:cs="Times New Roman"/>
          <w:b/>
          <w:bCs/>
          <w:sz w:val="40"/>
          <w:szCs w:val="24"/>
          <w:lang w:eastAsia="es-MX"/>
        </w:rPr>
      </w:pPr>
      <w:r w:rsidRPr="000F7FAA">
        <w:rPr>
          <w:rFonts w:ascii="Calibri" w:eastAsia="Times New Roman" w:hAnsi="Calibri" w:cs="Times New Roman"/>
          <w:b/>
          <w:bCs/>
          <w:sz w:val="40"/>
          <w:szCs w:val="24"/>
          <w:lang w:eastAsia="es-MX"/>
        </w:rPr>
        <w:t>Instituto de la Mujer Oaxaqueña</w:t>
      </w:r>
    </w:p>
    <w:p w:rsidR="00C00770" w:rsidRPr="000F7FAA" w:rsidRDefault="00C00770" w:rsidP="00DF2BB3">
      <w:pPr>
        <w:tabs>
          <w:tab w:val="left" w:pos="216"/>
        </w:tabs>
        <w:spacing w:after="0" w:line="240" w:lineRule="auto"/>
        <w:ind w:left="70"/>
        <w:jc w:val="both"/>
        <w:rPr>
          <w:rFonts w:ascii="Calibri" w:eastAsia="Times New Roman" w:hAnsi="Calibri" w:cs="Times New Roman"/>
          <w:b/>
          <w:bCs/>
          <w:szCs w:val="24"/>
          <w:lang w:eastAsia="es-MX"/>
        </w:rPr>
      </w:pPr>
    </w:p>
    <w:p w:rsidR="00C00770" w:rsidRPr="000F7FAA" w:rsidRDefault="00C00770" w:rsidP="00C00770">
      <w:pPr>
        <w:tabs>
          <w:tab w:val="left" w:pos="216"/>
        </w:tabs>
        <w:spacing w:after="0"/>
        <w:ind w:left="70"/>
        <w:jc w:val="center"/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</w:pPr>
      <w:r w:rsidRPr="000F7FAA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>Tabla de aplicabilidad de las obligaciones de transparencia comunes</w:t>
      </w:r>
    </w:p>
    <w:p w:rsidR="00C00770" w:rsidRPr="000F7FAA" w:rsidRDefault="00C00770" w:rsidP="00C00770">
      <w:pPr>
        <w:tabs>
          <w:tab w:val="left" w:pos="216"/>
        </w:tabs>
        <w:spacing w:after="0"/>
        <w:ind w:left="70"/>
        <w:jc w:val="center"/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</w:pPr>
      <w:proofErr w:type="gramStart"/>
      <w:r w:rsidRPr="000F7FAA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>del</w:t>
      </w:r>
      <w:proofErr w:type="gramEnd"/>
      <w:r w:rsidRPr="000F7FAA">
        <w:rPr>
          <w:rFonts w:ascii="Calibri" w:eastAsia="Times New Roman" w:hAnsi="Calibri" w:cs="Times New Roman"/>
          <w:b/>
          <w:bCs/>
          <w:sz w:val="32"/>
          <w:szCs w:val="24"/>
          <w:lang w:eastAsia="es-MX"/>
        </w:rPr>
        <w:t xml:space="preserve"> Poder Ejecutivo del Gobierno del Estado de Oaxaca</w:t>
      </w:r>
    </w:p>
    <w:p w:rsidR="00C00770" w:rsidRPr="000F7FAA" w:rsidRDefault="00C00770" w:rsidP="00DF2BB3">
      <w:pPr>
        <w:tabs>
          <w:tab w:val="left" w:pos="216"/>
        </w:tabs>
        <w:spacing w:after="0" w:line="240" w:lineRule="auto"/>
        <w:ind w:left="70"/>
        <w:jc w:val="both"/>
        <w:rPr>
          <w:rFonts w:ascii="Calibri" w:eastAsia="Times New Roman" w:hAnsi="Calibri" w:cs="Times New Roman"/>
          <w:b/>
          <w:bCs/>
          <w:szCs w:val="24"/>
          <w:lang w:eastAsia="es-MX"/>
        </w:rPr>
      </w:pPr>
    </w:p>
    <w:p w:rsidR="00C00770" w:rsidRPr="000F7FAA" w:rsidRDefault="00C00770" w:rsidP="00C00770">
      <w:pPr>
        <w:tabs>
          <w:tab w:val="left" w:pos="216"/>
        </w:tabs>
        <w:spacing w:after="0" w:line="360" w:lineRule="auto"/>
        <w:ind w:left="7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s-MX"/>
        </w:rPr>
      </w:pPr>
      <w:r w:rsidRPr="000F7FAA">
        <w:rPr>
          <w:rFonts w:ascii="Calibri" w:eastAsia="Times New Roman" w:hAnsi="Calibri" w:cs="Times New Roman"/>
          <w:b/>
          <w:bCs/>
          <w:sz w:val="24"/>
          <w:szCs w:val="24"/>
          <w:lang w:eastAsia="es-MX"/>
        </w:rPr>
        <w:t xml:space="preserve">Tipo de sujeto obligado: </w:t>
      </w:r>
      <w:r w:rsidRPr="000F7FAA">
        <w:rPr>
          <w:rFonts w:ascii="Calibri" w:eastAsia="Times New Roman" w:hAnsi="Calibri" w:cs="Times New Roman"/>
          <w:bCs/>
          <w:sz w:val="24"/>
          <w:szCs w:val="24"/>
          <w:lang w:eastAsia="es-MX"/>
        </w:rPr>
        <w:t>Descentralizado de la Administración Pública Estatal</w:t>
      </w:r>
      <w:r w:rsidR="00471604" w:rsidRPr="000F7FAA">
        <w:rPr>
          <w:rFonts w:ascii="Calibri" w:eastAsia="Times New Roman" w:hAnsi="Calibri" w:cs="Times New Roman"/>
          <w:bCs/>
          <w:sz w:val="24"/>
          <w:szCs w:val="24"/>
          <w:lang w:eastAsia="es-MX"/>
        </w:rPr>
        <w:t>.</w:t>
      </w:r>
    </w:p>
    <w:p w:rsidR="00C00770" w:rsidRPr="000F7FAA" w:rsidRDefault="00C00770" w:rsidP="00C00770">
      <w:pPr>
        <w:tabs>
          <w:tab w:val="left" w:pos="216"/>
        </w:tabs>
        <w:spacing w:after="0" w:line="360" w:lineRule="auto"/>
        <w:ind w:left="7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s-MX"/>
        </w:rPr>
      </w:pPr>
      <w:r w:rsidRPr="000F7FAA">
        <w:rPr>
          <w:rFonts w:ascii="Calibri" w:eastAsia="Times New Roman" w:hAnsi="Calibri" w:cs="Times New Roman"/>
          <w:b/>
          <w:bCs/>
          <w:sz w:val="24"/>
          <w:szCs w:val="24"/>
          <w:lang w:eastAsia="es-MX"/>
        </w:rPr>
        <w:t xml:space="preserve">Documento de origen: </w:t>
      </w:r>
      <w:r w:rsidRPr="000F7FAA">
        <w:rPr>
          <w:rFonts w:ascii="Calibri" w:eastAsia="Times New Roman" w:hAnsi="Calibri" w:cs="Times New Roman"/>
          <w:bCs/>
          <w:sz w:val="24"/>
          <w:szCs w:val="24"/>
          <w:lang w:eastAsia="es-MX"/>
        </w:rPr>
        <w:t>Decreto de creación, emitido por el Titular del Poder Ejecutivo del Gobierno del Estado</w:t>
      </w:r>
      <w:r w:rsidR="00471604" w:rsidRPr="000F7FAA">
        <w:rPr>
          <w:rFonts w:ascii="Calibri" w:eastAsia="Times New Roman" w:hAnsi="Calibri" w:cs="Times New Roman"/>
          <w:bCs/>
          <w:sz w:val="24"/>
          <w:szCs w:val="24"/>
          <w:lang w:eastAsia="es-MX"/>
        </w:rPr>
        <w:t xml:space="preserve"> y</w:t>
      </w:r>
      <w:r w:rsidRPr="000F7FAA">
        <w:rPr>
          <w:rFonts w:ascii="Calibri" w:eastAsia="Times New Roman" w:hAnsi="Calibri" w:cs="Times New Roman"/>
          <w:bCs/>
          <w:sz w:val="24"/>
          <w:szCs w:val="24"/>
          <w:lang w:eastAsia="es-MX"/>
        </w:rPr>
        <w:t xml:space="preserve"> publicado en el núm. 52 del Periódico Oficial del Gobierno del Estado, de fecha 23 de diciembre de 2000</w:t>
      </w:r>
      <w:r w:rsidR="00471604" w:rsidRPr="000F7FAA">
        <w:rPr>
          <w:rFonts w:ascii="Calibri" w:eastAsia="Times New Roman" w:hAnsi="Calibri" w:cs="Times New Roman"/>
          <w:bCs/>
          <w:sz w:val="24"/>
          <w:szCs w:val="24"/>
          <w:lang w:eastAsia="es-MX"/>
        </w:rPr>
        <w:t>.</w:t>
      </w:r>
    </w:p>
    <w:p w:rsidR="00C00770" w:rsidRPr="000F7FAA" w:rsidRDefault="00C00770" w:rsidP="00DF2BB3">
      <w:pPr>
        <w:tabs>
          <w:tab w:val="left" w:pos="216"/>
        </w:tabs>
        <w:spacing w:after="0" w:line="240" w:lineRule="auto"/>
        <w:ind w:left="70"/>
        <w:jc w:val="both"/>
        <w:rPr>
          <w:rFonts w:ascii="Calibri" w:eastAsia="Times New Roman" w:hAnsi="Calibri" w:cs="Times New Roman"/>
          <w:b/>
          <w:bCs/>
          <w:szCs w:val="24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2434"/>
        <w:gridCol w:w="991"/>
        <w:gridCol w:w="2105"/>
        <w:gridCol w:w="1331"/>
        <w:gridCol w:w="1472"/>
        <w:gridCol w:w="2051"/>
        <w:gridCol w:w="1087"/>
      </w:tblGrid>
      <w:tr w:rsidR="000F7FAA" w:rsidRPr="000F7FAA" w:rsidTr="00485F53">
        <w:trPr>
          <w:trHeight w:val="907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413BC" w:rsidRPr="000F7FAA" w:rsidRDefault="009413BC" w:rsidP="00D57A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ARTÍCULO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413BC" w:rsidRPr="000F7FAA" w:rsidRDefault="009413BC" w:rsidP="009E23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FRACCIÓN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413BC" w:rsidRPr="000F7FAA" w:rsidRDefault="009413BC" w:rsidP="00D57A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APLICA/NO APLICA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413BC" w:rsidRPr="000F7FAA" w:rsidRDefault="009413BC" w:rsidP="009E23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MOTIVACIÓN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413BC" w:rsidRPr="000F7FAA" w:rsidRDefault="009413BC" w:rsidP="009E23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FUNDAMENTO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413BC" w:rsidRPr="000F7FAA" w:rsidRDefault="009413BC" w:rsidP="00D57A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UNIDAD ADMINISTRATIVA RESPONSABLE DE GENERAR LA INFORMACIÓN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413BC" w:rsidRPr="000F7FAA" w:rsidRDefault="009413BC" w:rsidP="009E23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OBSERVACIONES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413BC" w:rsidRPr="000F7FAA" w:rsidRDefault="009413BC" w:rsidP="009E23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VALIDACIÓN IAIP</w:t>
            </w:r>
          </w:p>
        </w:tc>
      </w:tr>
      <w:tr w:rsidR="000F7FAA" w:rsidRPr="000F7FAA" w:rsidTr="00485F53">
        <w:trPr>
          <w:trHeight w:val="768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BC" w:rsidRPr="000F7FAA" w:rsidRDefault="009413BC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 xml:space="preserve">En la Ley Federal y de las Entidades Federativas se contemplará que los sujetos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lastRenderedPageBreak/>
              <w:t>obligados pongan a disposición del público y mantengan actualizada, en los respectivos medios electrónicos, de acuerdo con sus facultades, atribuciones, funciones u objeto social, según corresponda, la información, por lo menos, de los temas, documentos y políticas que a continuación se señalan:</w:t>
            </w:r>
          </w:p>
          <w:p w:rsidR="009413BC" w:rsidRPr="000F7FAA" w:rsidRDefault="009413BC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BC" w:rsidRPr="000F7FAA" w:rsidRDefault="009413BC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 xml:space="preserve">Fracción 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El marco normativo aplicable al sujeto obligado, en el que deberá incluirse leyes, códigos, reglamentos, decretos de creación, manuales administrativos, reglas de operación, criterios, políticas, entre otros;</w:t>
            </w:r>
          </w:p>
          <w:p w:rsidR="009413BC" w:rsidRPr="000F7FAA" w:rsidRDefault="009413BC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BC" w:rsidRPr="000F7FAA" w:rsidRDefault="004A1F39" w:rsidP="00E774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BC" w:rsidRPr="000F7FAA" w:rsidRDefault="009E236F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BC" w:rsidRPr="000F7FAA" w:rsidRDefault="009E236F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3BC" w:rsidRPr="000F7FAA" w:rsidRDefault="004A1F39" w:rsidP="006939A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BC" w:rsidRPr="000F7FAA" w:rsidRDefault="009E236F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BC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2025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Su estructura orgánica completa, en un formato que permita vincular cada parte de la estructura, las atribuciones y responsabilidades que le corresponden a cada servidor público, prestador de servicios profesionales o miembro de los sujetos obligados, de conformidad con las disposiciones aplicables;</w:t>
            </w:r>
          </w:p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E774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6939A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510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facultades de cada Área;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E774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6939A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927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IV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metas y objetivos de las Áreas de conformidad con sus programas operativos;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E774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A1F3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236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Fracción V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  <w:t xml:space="preserve"> Los indicadores relacionados con temas de interés público o trascendencia social que conforme a sus funciones, deban establecer;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E774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6939A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702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VI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indicadores que permitan rendir cuenta de sus objetivos y resultados;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E774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6939A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57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VII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El directorio de todos los Servidores Públicos, a partir del nivel de jefe de departamento o su equivalente, o de menor nivel, cuando se brinde atención al público; manejen o apliquen recursos públicos; realicen actos de autoridad o presten servicios profesionales bajo el régimen de confianza u honorarios y personal de base. El directorio deberá incluir, al menos el nombre, cargo o nombramiento asignado, nivel del puesto en la estructura orgánica, fecha de alta en el cargo, número telefónico, domicilio para recibir correspondencia y dirección de correo electrónico oficiales;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E774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6939A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24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VIII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 remuneración bruta y neta de todos los Servidores Públicos de base o de confianza, de todas las percepciones, incluyendo sueldos, prestaciones, gratificaciones, primas, comisiones, dietas, bonos, estímulos, ingresos y sistemas de compensación, señalando la periodicidad de dicha remuneración;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64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IX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gastos de representación y viáticos, así como el objeto e informe de comisión correspondiente;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11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 w:type="page"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Fracción X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  <w:t>El número total de las plazas y del personal de base y confianza, especificando el total de las vacantes, por nivel de puesto, para cada unidad administrativa;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39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contrataciones de servicios profesionales por honorarios, señalando los nombres de los prestadores de servicios, los servicios contratados, el monto de los honorarios y el periodo de contratación;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33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 información en Versión Pública de las declaraciones patrimoniales de los Servidores Públicos que así lo determinen, en los sistemas habilitados para ello, de acuerdo a la normatividad aplicable;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93FC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CA4EE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No se tiene la manifestación de algún servidor público que haya consentido la publicación de su declaración patrimonial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98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El domicilio de la Unidad de Transparencia, además de la dirección electrónica donde podrán recibirse las solicitudes para obtener la información;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0E306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70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XIV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convocatorias a concursos para ocupar cargos públicos y los resultados de los mismos;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0C44E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93FC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No se han emitido convocatorias en este Instituto además que nos apegamos al personal que nos asigna la Secretaría de Administración.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54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 w:type="page"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Fracción XV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  <w:t>La información de los programas de subsidios, estímulos y apoyos, en el que se deberá informar respecto de los programas de transferencia, de servicios, de infraestructura social y de subsidio, en los que se deberá contener lo siguiente: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  <w:t>...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0C44E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8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XVI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condiciones generales de trabajo, contratos o convenios que regulen las relaciones laborales del personal de base o de confianza, así como los recursos públicos económicos, en especie o donativos, que sean entregados a los sindicatos y ejerzan como recursos públicos;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0C44E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835D7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Solo le resulta aplicable al IMO, la primera parte de la fracción, puesto que al no contar con personal sindicalizado, no se otorga recurso alguno a este sector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39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 w:type="page"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Fracción XVII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 w:type="page"/>
              <w:t xml:space="preserve"> La información curricular, desde el nivel de jefe de departamento o equivalente, hasta el titular del sujeto obligado, así como, en su caso, las sanciones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lastRenderedPageBreak/>
              <w:t>administrativas de que haya sido objeto;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97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XVIII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El listado de Servidores Públicos con sanciones administrativas definitivas, especificando la causa de sanción y la disposición;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0C44E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Hasta el momento no se tienen servidores sancionados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82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XIX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servicios que ofrecen señalando los requisitos para acceder a ellos;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67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trámites, requisitos y formatos que ofrecen;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54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92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 información relativa a la deuda pública, en términos de la normatividad aplicable;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E20C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Es facultad de la Secretaría</w:t>
            </w:r>
          </w:p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 Finanzas la integración</w:t>
            </w:r>
          </w:p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 la cuenta pública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Art. 45 frac. XXXV de la Ley Orgánica del Poder Ejecutivo del Estado de </w:t>
            </w: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Oaxaca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----------------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23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Únicamente se publicará la información de este rubro correspondiente al IMO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23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XXIV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informes de resultados de las auditorías al ejercicio presupuestal de cada sujeto obligado que se realicen y, en su caso, las aclaraciones que correspondan;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E20C5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B425B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B425B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D162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D162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71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XXV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El resultado de la dictaminación de los estados financieros;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9D162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D16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Es facultad de la Secretaría de la Contraloría y Transparencia Gubernamental, inspeccionar la aplicación del gasto público estatal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D16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Art. 47 frac. II de la Ley Orgánica del Poder Ejecutivo del Estado de Oaxaca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D162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D162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vinculo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01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XXVI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 xml:space="preserve">Los montos, criterios, convocatorias y listado de personas físicas o morales a quienes, por cualquier motivo, se les asigne o permita usar recursos públicos o, en los términos de las disposiciones aplicables, realicen actos de autoridad.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lastRenderedPageBreak/>
              <w:t>Asimismo, los informes que dichas personas les entreguen sobre el uso y destino de dichos recursos;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85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XXVII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214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0E306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D16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Únicamente se publicará la información de este rubro correspondiente al IMO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8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XXVIII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siguiente:…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9D162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CA4EE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El IMO no cuenta con esta facultad.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3456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Art. 2 frac. II de la Ley de Adquisiciones, Arrendamientos y Servicios del Sector Público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B1626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93FC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vinculo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69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XXIX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 xml:space="preserve">Los informes que por disposición legal generen los sujetos obligados;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99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69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Informe de avances programáticos o presupuestales, balances generales y su estado financiero;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55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DF2BB3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Padrón de proveedores y contratistas;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3456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Únicamente se incluirán a los proveedores contratados por el IMO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7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convenios de coordinación de concertación con los sectores social y privado;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79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XXXIV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El inventario de bienes muebles e inmuebles en posesión y propiedad;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33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XXXV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32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XXXVI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 xml:space="preserve">Las resoluciones y laudos que se emitan en procesos o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lastRenderedPageBreak/>
              <w:t>procedimientos seguidos en forma de juicio;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66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XXXVII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mecanismos de participación ciudadana;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72116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23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XXXVIII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72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XXXIX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actas y resoluciones del Comité de Transparencia de los sujetos obligados;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3456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Únicamente se publicará la información de este rubro correspondiente al IMO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97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3909AD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XL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Todas las evaluaciones y encuestas que hagan los sujetos obligados a programas financiados con recursos públicos;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Planeación y Desarrollo de Proyectos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3909AD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XLI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estudios financiados con recursos públicos;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72116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de Formación y Capacitación en Género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46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3909AD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highlight w:val="yellow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XLII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El listado de jubilados y pensionados y el monto que reciben;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93F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3456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3456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3456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0F7FAA" w:rsidP="00993F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hyperlink r:id="rId7" w:history="1">
              <w:r w:rsidR="00485F53" w:rsidRPr="000F7FAA">
                <w:rPr>
                  <w:rStyle w:val="Hipervnculo"/>
                  <w:rFonts w:eastAsia="Times New Roman" w:cstheme="minorHAnsi"/>
                  <w:color w:val="auto"/>
                  <w:sz w:val="18"/>
                  <w:szCs w:val="18"/>
                  <w:lang w:eastAsia="es-MX"/>
                </w:rPr>
                <w:t>http://www.imss.gob.mx/</w:t>
              </w:r>
            </w:hyperlink>
            <w:r w:rsidR="00485F53"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hasta el momento no se tienen jubilados ni pensionados en este Instituto derivado que somos un organismo de sin antigüedad necesaria </w:t>
            </w:r>
            <w:r w:rsidR="00485F53"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para generar personal pensionado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VALIDADA</w:t>
            </w:r>
          </w:p>
        </w:tc>
      </w:tr>
      <w:tr w:rsidR="000F7FAA" w:rsidRPr="000F7FAA" w:rsidTr="00485F53">
        <w:trPr>
          <w:trHeight w:val="123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3909AD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XLIII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Administrativo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43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3909AD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XLIV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Donaciones hechas a terceros en dinero o en especie;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3456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3456A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Apoyo a organizaciones civiles.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48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3909AD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XLV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El catálogo de disposición y guía de archivo documental;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90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XLVI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Las actas de sesiones ordinarias y extraordinarias, así como las opiniones y recomendaciones que emitan, en su caso, los consejos consultivos;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748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Jurídico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B162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Únicamente se publicará la información de este rubro correspondiente al IMO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0F7FAA" w:rsidRPr="000F7FAA" w:rsidTr="00485F53">
        <w:trPr>
          <w:trHeight w:val="133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XLVII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 xml:space="preserve">Para efectos estadísticos, el listado de solicitudes a las empresas concesionarias de telecomunicaciones y proveedores de servicios o aplicaciones de Internet para la intervención de comunicaciones privadas, el acceso al registro de comunicaciones y la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lastRenderedPageBreak/>
              <w:t>localización geográfica en tiempo real de equipos de comunicación, que contenga exclusivamente el objeto, el alcance temporal y los fundamentos legales del requerimiento, así como, en su caso, la mención de que cuenta con la autorización judicial correspondiente, y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E774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No aplica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CA4EE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val="es-ES" w:eastAsia="es-MX"/>
              </w:rPr>
              <w:t xml:space="preserve">El objeto del IMO es promover y fomentar las condiciones que posibiliten la igualdad sustantiva y efectiva entre mujeres y hombres en los ámbitos público y privado, mediante el empoderamiento de las mujeres y el fortalecimiento de </w:t>
            </w:r>
            <w:r w:rsidRPr="000F7FAA">
              <w:rPr>
                <w:rFonts w:eastAsia="Times New Roman" w:cstheme="minorHAnsi"/>
                <w:sz w:val="18"/>
                <w:szCs w:val="18"/>
                <w:lang w:val="es-ES" w:eastAsia="es-MX"/>
              </w:rPr>
              <w:lastRenderedPageBreak/>
              <w:t>vínculos con los Poderes Legislativo, Ejecutivo y Judicial del Estado.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Art. 1º del Decreto de creación del Instituto de la Mujer Oaxaqueña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652E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  <w:tr w:rsidR="00485F53" w:rsidRPr="000F7FAA" w:rsidTr="00485F53">
        <w:trPr>
          <w:trHeight w:val="123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097099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lastRenderedPageBreak/>
              <w:t>Artículo 70</w:t>
            </w: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br/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br/>
              <w:t>…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53" w:rsidRPr="000F7FAA" w:rsidRDefault="00485F53" w:rsidP="009E236F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es-MX"/>
              </w:rPr>
              <w:t xml:space="preserve">Fracción XLVIII </w:t>
            </w:r>
            <w:r w:rsidRPr="000F7FAA">
              <w:rPr>
                <w:rFonts w:eastAsia="Times New Roman" w:cstheme="minorHAnsi"/>
                <w:iCs/>
                <w:sz w:val="18"/>
                <w:szCs w:val="18"/>
                <w:lang w:eastAsia="es-MX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7485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F944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Departamento Información Estadística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9E236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----------------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53" w:rsidRPr="000F7FAA" w:rsidRDefault="00485F53" w:rsidP="00485F53">
            <w:pPr>
              <w:jc w:val="center"/>
            </w:pPr>
            <w:r w:rsidRPr="000F7FAA">
              <w:rPr>
                <w:rFonts w:eastAsia="Times New Roman" w:cstheme="minorHAnsi"/>
                <w:sz w:val="18"/>
                <w:szCs w:val="18"/>
                <w:lang w:eastAsia="es-MX"/>
              </w:rPr>
              <w:t>VALIDADA</w:t>
            </w:r>
          </w:p>
        </w:tc>
      </w:tr>
    </w:tbl>
    <w:p w:rsidR="0086030A" w:rsidRPr="000F7FAA" w:rsidRDefault="0086030A" w:rsidP="0086030A">
      <w:pPr>
        <w:rPr>
          <w:b/>
          <w:sz w:val="18"/>
          <w:szCs w:val="18"/>
        </w:rPr>
      </w:pPr>
    </w:p>
    <w:p w:rsidR="000F7FAA" w:rsidRPr="000F7FAA" w:rsidRDefault="000F7FAA" w:rsidP="000F7FAA">
      <w:pPr>
        <w:pStyle w:val="CuerpoA"/>
        <w:tabs>
          <w:tab w:val="left" w:pos="216"/>
        </w:tabs>
        <w:spacing w:after="0" w:line="240" w:lineRule="auto"/>
        <w:ind w:firstLine="70"/>
        <w:jc w:val="both"/>
        <w:rPr>
          <w:color w:val="auto"/>
        </w:rPr>
      </w:pPr>
      <w:r w:rsidRPr="000F7FAA">
        <w:rPr>
          <w:color w:val="auto"/>
        </w:rPr>
        <w:t xml:space="preserve">La validación de la  presente  tabla de aplicabilidad es susceptible de ser modificada cuando lo considere viable este Órgano Garante con base a la normatividad en la materia. </w:t>
      </w:r>
    </w:p>
    <w:p w:rsidR="000F7FAA" w:rsidRPr="000F7FAA" w:rsidRDefault="000F7FAA" w:rsidP="000F7FAA">
      <w:pPr>
        <w:jc w:val="right"/>
        <w:rPr>
          <w:b/>
          <w:i/>
          <w:sz w:val="18"/>
          <w:szCs w:val="18"/>
        </w:rPr>
      </w:pPr>
      <w:r w:rsidRPr="000F7FAA">
        <w:t xml:space="preserve">Oaxaca de Juárez </w:t>
      </w:r>
      <w:proofErr w:type="spellStart"/>
      <w:r w:rsidRPr="000F7FAA">
        <w:t>Oax</w:t>
      </w:r>
      <w:proofErr w:type="spellEnd"/>
      <w:r w:rsidRPr="000F7FAA">
        <w:t>., dieciocho  de enero  de dos mil diecisiete.</w:t>
      </w:r>
    </w:p>
    <w:p w:rsidR="000F7FAA" w:rsidRPr="000F7FAA" w:rsidRDefault="000F7FAA" w:rsidP="000F7FAA">
      <w:pPr>
        <w:jc w:val="center"/>
        <w:rPr>
          <w:sz w:val="24"/>
          <w:szCs w:val="24"/>
        </w:rPr>
      </w:pPr>
      <w:r w:rsidRPr="000F7FAA">
        <w:t xml:space="preserve">ELABORÓ                                                                                                                                               </w:t>
      </w:r>
      <w:proofErr w:type="spellStart"/>
      <w:r w:rsidRPr="000F7FAA">
        <w:t>Vo</w:t>
      </w:r>
      <w:proofErr w:type="spellEnd"/>
      <w:r w:rsidRPr="000F7FAA">
        <w:t>. Bo.</w:t>
      </w:r>
    </w:p>
    <w:p w:rsidR="000F7FAA" w:rsidRPr="000F7FAA" w:rsidRDefault="000F7FAA" w:rsidP="000F7FAA">
      <w:pPr>
        <w:jc w:val="center"/>
      </w:pPr>
    </w:p>
    <w:p w:rsidR="000F7FAA" w:rsidRPr="000F7FAA" w:rsidRDefault="000F7FAA" w:rsidP="000F7FAA">
      <w:pPr>
        <w:jc w:val="center"/>
        <w:rPr>
          <w:b/>
          <w:sz w:val="18"/>
          <w:szCs w:val="18"/>
        </w:rPr>
      </w:pPr>
      <w:r w:rsidRPr="000F7FAA">
        <w:t>LIC. THOMAS AGUILAR MENDOZA</w:t>
      </w:r>
      <w:r w:rsidRPr="000F7FAA">
        <w:tab/>
      </w:r>
      <w:r w:rsidRPr="000F7FAA">
        <w:tab/>
      </w:r>
      <w:r w:rsidRPr="000F7FAA">
        <w:tab/>
        <w:t xml:space="preserve">                                                     LIC.  RICARDO DORANTES JIMENEZ</w:t>
      </w:r>
    </w:p>
    <w:p w:rsidR="00F55297" w:rsidRPr="000F7FAA" w:rsidRDefault="00F55297" w:rsidP="0086030A">
      <w:pPr>
        <w:rPr>
          <w:b/>
          <w:sz w:val="18"/>
          <w:szCs w:val="18"/>
        </w:rPr>
      </w:pPr>
      <w:bookmarkStart w:id="0" w:name="_GoBack"/>
      <w:bookmarkEnd w:id="0"/>
    </w:p>
    <w:sectPr w:rsidR="00F55297" w:rsidRPr="000F7FAA" w:rsidSect="00C00770">
      <w:headerReference w:type="default" r:id="rId8"/>
      <w:pgSz w:w="15840" w:h="12240" w:orient="landscape"/>
      <w:pgMar w:top="21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F5" w:rsidRDefault="00C430F5" w:rsidP="00C00770">
      <w:pPr>
        <w:spacing w:after="0" w:line="240" w:lineRule="auto"/>
      </w:pPr>
      <w:r>
        <w:separator/>
      </w:r>
    </w:p>
  </w:endnote>
  <w:endnote w:type="continuationSeparator" w:id="0">
    <w:p w:rsidR="00C430F5" w:rsidRDefault="00C430F5" w:rsidP="00C0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F5" w:rsidRDefault="00C430F5" w:rsidP="00C00770">
      <w:pPr>
        <w:spacing w:after="0" w:line="240" w:lineRule="auto"/>
      </w:pPr>
      <w:r>
        <w:separator/>
      </w:r>
    </w:p>
  </w:footnote>
  <w:footnote w:type="continuationSeparator" w:id="0">
    <w:p w:rsidR="00C430F5" w:rsidRDefault="00C430F5" w:rsidP="00C0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70" w:rsidRDefault="00C00770" w:rsidP="00C00770">
    <w:pPr>
      <w:tabs>
        <w:tab w:val="left" w:pos="8789"/>
      </w:tabs>
      <w:jc w:val="center"/>
      <w:rPr>
        <w:rFonts w:ascii="Arial" w:hAnsi="Arial" w:cs="Arial"/>
        <w:b/>
        <w:sz w:val="14"/>
        <w:szCs w:val="16"/>
      </w:rPr>
    </w:pPr>
    <w:r>
      <w:rPr>
        <w:rFonts w:ascii="Arial" w:hAnsi="Arial" w:cs="Arial"/>
        <w:b/>
        <w:noProof/>
        <w:sz w:val="14"/>
        <w:szCs w:val="16"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5768340</wp:posOffset>
          </wp:positionH>
          <wp:positionV relativeFrom="paragraph">
            <wp:posOffset>-116205</wp:posOffset>
          </wp:positionV>
          <wp:extent cx="1084580" cy="1019175"/>
          <wp:effectExtent l="0" t="0" r="0" b="0"/>
          <wp:wrapTight wrapText="bothSides">
            <wp:wrapPolygon edited="0">
              <wp:start x="17452" y="2826"/>
              <wp:lineTo x="5311" y="2826"/>
              <wp:lineTo x="3035" y="4037"/>
              <wp:lineTo x="1897" y="18572"/>
              <wp:lineTo x="18970" y="18572"/>
              <wp:lineTo x="20108" y="16553"/>
              <wp:lineTo x="17452" y="15746"/>
              <wp:lineTo x="19728" y="11305"/>
              <wp:lineTo x="19349" y="2826"/>
              <wp:lineTo x="17452" y="2826"/>
            </wp:wrapPolygon>
          </wp:wrapTight>
          <wp:docPr id="72" name="Imagen 2" descr="D:\web\web imo\IMO\Para Luis\Logo GENERANDOBIENESTAR\PNG\CO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eb\web imo\IMO\Para Luis\Logo GENERANDOBIENESTAR\PNG\COLOR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4"/>
        <w:szCs w:val="16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17145</wp:posOffset>
          </wp:positionV>
          <wp:extent cx="2066925" cy="885825"/>
          <wp:effectExtent l="0" t="0" r="0" b="0"/>
          <wp:wrapTight wrapText="bothSides">
            <wp:wrapPolygon edited="0">
              <wp:start x="3583" y="2787"/>
              <wp:lineTo x="2588" y="3716"/>
              <wp:lineTo x="1991" y="6968"/>
              <wp:lineTo x="2190" y="10219"/>
              <wp:lineTo x="995" y="17187"/>
              <wp:lineTo x="995" y="18581"/>
              <wp:lineTo x="20704" y="18581"/>
              <wp:lineTo x="20903" y="16258"/>
              <wp:lineTo x="19311" y="14400"/>
              <wp:lineTo x="13935" y="10219"/>
              <wp:lineTo x="20306" y="10219"/>
              <wp:lineTo x="19908" y="6503"/>
              <wp:lineTo x="6968" y="2787"/>
              <wp:lineTo x="3583" y="2787"/>
            </wp:wrapPolygon>
          </wp:wrapTight>
          <wp:docPr id="73" name="Imagen 1" descr="D:\web\web imo\IMO\Para Luis\Logo IMO\PNG\Ca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eb\web imo\IMO\Para Luis\Logo IMO\PNG\Calor-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0770" w:rsidRDefault="00C00770" w:rsidP="00C00770">
    <w:pPr>
      <w:tabs>
        <w:tab w:val="left" w:pos="8789"/>
      </w:tabs>
      <w:jc w:val="center"/>
      <w:rPr>
        <w:rFonts w:ascii="Arial" w:hAnsi="Arial" w:cs="Arial"/>
        <w:b/>
        <w:sz w:val="14"/>
        <w:szCs w:val="16"/>
      </w:rPr>
    </w:pPr>
  </w:p>
  <w:p w:rsidR="00C00770" w:rsidRDefault="00C00770" w:rsidP="00C00770">
    <w:pPr>
      <w:tabs>
        <w:tab w:val="left" w:pos="8789"/>
      </w:tabs>
      <w:jc w:val="center"/>
      <w:rPr>
        <w:rFonts w:ascii="Arial" w:hAnsi="Arial" w:cs="Arial"/>
        <w:b/>
        <w:sz w:val="14"/>
        <w:szCs w:val="16"/>
      </w:rPr>
    </w:pPr>
  </w:p>
  <w:p w:rsidR="00C00770" w:rsidRPr="00C00770" w:rsidRDefault="00C00770" w:rsidP="00C00770">
    <w:pPr>
      <w:tabs>
        <w:tab w:val="left" w:pos="8789"/>
      </w:tabs>
      <w:jc w:val="center"/>
      <w:rPr>
        <w:rFonts w:ascii="Arial" w:hAnsi="Arial" w:cs="Arial"/>
        <w:b/>
        <w:sz w:val="14"/>
        <w:szCs w:val="16"/>
      </w:rPr>
    </w:pPr>
    <w:r w:rsidRPr="00490A63">
      <w:rPr>
        <w:rFonts w:ascii="Arial" w:hAnsi="Arial" w:cs="Arial"/>
        <w:b/>
        <w:noProof/>
        <w:sz w:val="14"/>
        <w:szCs w:val="16"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693420</wp:posOffset>
          </wp:positionV>
          <wp:extent cx="3933825" cy="5124450"/>
          <wp:effectExtent l="0" t="0" r="0" b="0"/>
          <wp:wrapNone/>
          <wp:docPr id="4" name="Imagen 1" descr="D:\web\web imo\IMO\Para Luis\Logo Gobierno\VERSIONVERTICAL\PNG\GRI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eb\web imo\IMO\Para Luis\Logo Gobierno\VERSIONVERTICAL\PNG\GRIS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35000" contrast="8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512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6"/>
      </w:rPr>
      <w:t>“</w:t>
    </w:r>
    <w:r w:rsidRPr="00490A63">
      <w:rPr>
        <w:rFonts w:ascii="Arial" w:hAnsi="Arial" w:cs="Arial"/>
        <w:b/>
        <w:sz w:val="14"/>
        <w:szCs w:val="16"/>
      </w:rPr>
      <w:t>201</w:t>
    </w:r>
    <w:r>
      <w:rPr>
        <w:rFonts w:ascii="Arial" w:hAnsi="Arial" w:cs="Arial"/>
        <w:b/>
        <w:sz w:val="14"/>
        <w:szCs w:val="16"/>
      </w:rPr>
      <w:t>6, AÑO DEL FOMENTO A LA LECTURA Y LA ESCRITURA</w:t>
    </w:r>
    <w:r w:rsidRPr="00490A63">
      <w:rPr>
        <w:rFonts w:ascii="Arial" w:hAnsi="Arial" w:cs="Arial"/>
        <w:b/>
        <w:sz w:val="14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04"/>
    <w:rsid w:val="00040E3E"/>
    <w:rsid w:val="000475C1"/>
    <w:rsid w:val="0009081C"/>
    <w:rsid w:val="000C44EF"/>
    <w:rsid w:val="000D1DF8"/>
    <w:rsid w:val="000E0289"/>
    <w:rsid w:val="000E3061"/>
    <w:rsid w:val="000F7861"/>
    <w:rsid w:val="000F7FAA"/>
    <w:rsid w:val="00126D56"/>
    <w:rsid w:val="001B1A08"/>
    <w:rsid w:val="001C400E"/>
    <w:rsid w:val="002141EA"/>
    <w:rsid w:val="00225161"/>
    <w:rsid w:val="00247D51"/>
    <w:rsid w:val="00251753"/>
    <w:rsid w:val="002F34FF"/>
    <w:rsid w:val="003456AB"/>
    <w:rsid w:val="00351FC7"/>
    <w:rsid w:val="0035573C"/>
    <w:rsid w:val="003909AD"/>
    <w:rsid w:val="00411AB4"/>
    <w:rsid w:val="00453D95"/>
    <w:rsid w:val="00471604"/>
    <w:rsid w:val="00485F53"/>
    <w:rsid w:val="004A1F39"/>
    <w:rsid w:val="00586D04"/>
    <w:rsid w:val="00652EC4"/>
    <w:rsid w:val="006571CF"/>
    <w:rsid w:val="00657231"/>
    <w:rsid w:val="006939A1"/>
    <w:rsid w:val="00721167"/>
    <w:rsid w:val="007E3CE6"/>
    <w:rsid w:val="0080643F"/>
    <w:rsid w:val="00835D72"/>
    <w:rsid w:val="008375A5"/>
    <w:rsid w:val="0086030A"/>
    <w:rsid w:val="00873521"/>
    <w:rsid w:val="009413BC"/>
    <w:rsid w:val="00947DE3"/>
    <w:rsid w:val="00993FC9"/>
    <w:rsid w:val="009D1629"/>
    <w:rsid w:val="009E236F"/>
    <w:rsid w:val="00A44B3D"/>
    <w:rsid w:val="00A9283A"/>
    <w:rsid w:val="00AA0D16"/>
    <w:rsid w:val="00B37020"/>
    <w:rsid w:val="00B425B6"/>
    <w:rsid w:val="00BA3D2F"/>
    <w:rsid w:val="00C00770"/>
    <w:rsid w:val="00C430F5"/>
    <w:rsid w:val="00CA4EE1"/>
    <w:rsid w:val="00CC2114"/>
    <w:rsid w:val="00D57AFE"/>
    <w:rsid w:val="00DE2A64"/>
    <w:rsid w:val="00DF2BB3"/>
    <w:rsid w:val="00E20C5E"/>
    <w:rsid w:val="00E774C4"/>
    <w:rsid w:val="00EC6230"/>
    <w:rsid w:val="00EF1F0E"/>
    <w:rsid w:val="00F55297"/>
    <w:rsid w:val="00F9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00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0770"/>
  </w:style>
  <w:style w:type="paragraph" w:styleId="Piedepgina">
    <w:name w:val="footer"/>
    <w:basedOn w:val="Normal"/>
    <w:link w:val="PiedepginaCar"/>
    <w:uiPriority w:val="99"/>
    <w:semiHidden/>
    <w:unhideWhenUsed/>
    <w:rsid w:val="00C00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0770"/>
  </w:style>
  <w:style w:type="character" w:styleId="Hipervnculo">
    <w:name w:val="Hyperlink"/>
    <w:basedOn w:val="Fuentedeprrafopredeter"/>
    <w:uiPriority w:val="99"/>
    <w:unhideWhenUsed/>
    <w:rsid w:val="00993FC9"/>
    <w:rPr>
      <w:color w:val="0000FF" w:themeColor="hyperlink"/>
      <w:u w:val="single"/>
    </w:rPr>
  </w:style>
  <w:style w:type="paragraph" w:customStyle="1" w:styleId="CuerpoA">
    <w:name w:val="Cuerpo A"/>
    <w:rsid w:val="000F7FAA"/>
    <w:rPr>
      <w:rFonts w:ascii="Calibri" w:eastAsia="Calibri" w:hAnsi="Calibri" w:cs="Calibri"/>
      <w:color w:val="000000"/>
      <w:u w:color="000000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00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0770"/>
  </w:style>
  <w:style w:type="paragraph" w:styleId="Piedepgina">
    <w:name w:val="footer"/>
    <w:basedOn w:val="Normal"/>
    <w:link w:val="PiedepginaCar"/>
    <w:uiPriority w:val="99"/>
    <w:semiHidden/>
    <w:unhideWhenUsed/>
    <w:rsid w:val="00C00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0770"/>
  </w:style>
  <w:style w:type="character" w:styleId="Hipervnculo">
    <w:name w:val="Hyperlink"/>
    <w:basedOn w:val="Fuentedeprrafopredeter"/>
    <w:uiPriority w:val="99"/>
    <w:unhideWhenUsed/>
    <w:rsid w:val="00993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ss.gob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2554</Words>
  <Characters>14049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Cotaipo</cp:lastModifiedBy>
  <cp:revision>7</cp:revision>
  <cp:lastPrinted>2017-01-17T23:10:00Z</cp:lastPrinted>
  <dcterms:created xsi:type="dcterms:W3CDTF">2016-08-11T14:39:00Z</dcterms:created>
  <dcterms:modified xsi:type="dcterms:W3CDTF">2017-01-17T23:14:00Z</dcterms:modified>
</cp:coreProperties>
</file>